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Pr>
          <w:rFonts w:ascii="Times New Roman" w:hAnsi="Times New Roman"/>
          <w:sz w:val="24"/>
        </w:rPr>
        <w:tab/>
      </w:r>
      <w:r w:rsidR="0079705C">
        <w:rPr>
          <w:rFonts w:ascii="Times New Roman" w:hAnsi="Times New Roman"/>
          <w:sz w:val="24"/>
        </w:rPr>
        <w:tab/>
      </w:r>
      <w:bookmarkStart w:id="0" w:name="_GoBack"/>
      <w:bookmarkEnd w:id="0"/>
      <w:r>
        <w:rPr>
          <w:rFonts w:ascii="Times New Roman" w:hAnsi="Times New Roman"/>
          <w:sz w:val="24"/>
        </w:rPr>
        <w:t>R4-1</w:t>
      </w:r>
      <w:r w:rsidR="00FF2244">
        <w:rPr>
          <w:rFonts w:ascii="Times New Roman" w:hAnsi="Times New Roman"/>
          <w:sz w:val="24"/>
        </w:rPr>
        <w:t>9</w:t>
      </w:r>
      <w:r w:rsidR="0079705C">
        <w:rPr>
          <w:rFonts w:ascii="Times New Roman" w:hAnsi="Times New Roman"/>
          <w:sz w:val="24"/>
        </w:rPr>
        <w:t>09566</w:t>
      </w:r>
    </w:p>
    <w:p w:rsidR="005813AA" w:rsidRPr="00552689" w:rsidRDefault="000E35CC" w:rsidP="005813AA">
      <w:pPr>
        <w:pStyle w:val="Header"/>
        <w:rPr>
          <w:rFonts w:ascii="Times New Roman" w:hAnsi="Times New Roman"/>
          <w:sz w:val="24"/>
          <w:lang w:val="en-US"/>
        </w:rPr>
      </w:pPr>
      <w:r>
        <w:rPr>
          <w:rFonts w:ascii="Times New Roman" w:hAnsi="Times New Roman"/>
          <w:sz w:val="24"/>
          <w:lang w:val="en-US"/>
        </w:rPr>
        <w:t>Ljubljana</w:t>
      </w:r>
      <w:r w:rsidR="005813AA">
        <w:rPr>
          <w:rFonts w:ascii="Times New Roman" w:hAnsi="Times New Roman"/>
          <w:sz w:val="24"/>
          <w:lang w:val="en-US"/>
        </w:rPr>
        <w:t xml:space="preserve">, </w:t>
      </w:r>
      <w:r>
        <w:rPr>
          <w:rFonts w:ascii="Times New Roman" w:hAnsi="Times New Roman"/>
          <w:sz w:val="24"/>
          <w:lang w:val="en-US"/>
        </w:rPr>
        <w:t>Slovenia</w:t>
      </w:r>
      <w:r w:rsidR="005813AA">
        <w:rPr>
          <w:rFonts w:ascii="Times New Roman" w:hAnsi="Times New Roman"/>
          <w:sz w:val="24"/>
          <w:lang w:val="en-US"/>
        </w:rPr>
        <w:t xml:space="preserve">, </w:t>
      </w:r>
      <w:r>
        <w:rPr>
          <w:rFonts w:ascii="Times New Roman" w:hAnsi="Times New Roman"/>
          <w:sz w:val="24"/>
          <w:lang w:val="en-US"/>
        </w:rPr>
        <w:t>26</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30</w:t>
      </w:r>
      <w:r w:rsidR="002B1082">
        <w:rPr>
          <w:rFonts w:ascii="Times New Roman" w:hAnsi="Times New Roman"/>
          <w:sz w:val="24"/>
          <w:lang w:val="en-US"/>
        </w:rPr>
        <w:t xml:space="preserve"> </w:t>
      </w:r>
      <w:r>
        <w:rPr>
          <w:rFonts w:ascii="Times New Roman" w:hAnsi="Times New Roman"/>
          <w:sz w:val="24"/>
          <w:lang w:val="en-US"/>
        </w:rPr>
        <w:t>August</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91B7C">
        <w:rPr>
          <w:rFonts w:ascii="Arial" w:hAnsi="Arial" w:cs="Arial"/>
          <w:sz w:val="24"/>
          <w:lang w:val="en-US" w:eastAsia="zh-CN"/>
        </w:rPr>
        <w:t>Measurement gap applicability</w:t>
      </w:r>
      <w:r w:rsidR="002510F1">
        <w:rPr>
          <w:rFonts w:ascii="Arial" w:hAnsi="Arial" w:cs="Arial"/>
          <w:sz w:val="24"/>
          <w:lang w:val="en-US" w:eastAsia="zh-CN"/>
        </w:rPr>
        <w:t xml:space="preserve"> NR-U</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27631">
        <w:rPr>
          <w:rFonts w:ascii="Arial" w:hAnsi="Arial" w:cs="Arial"/>
          <w:sz w:val="24"/>
          <w:lang w:val="en-US" w:eastAsia="zh-CN"/>
        </w:rPr>
        <w:t>9.1.5.9</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4469EF" w:rsidRPr="004469EF" w:rsidRDefault="00091B7C" w:rsidP="004469EF">
      <w:r>
        <w:t>For licenced NR, RAN4 has specified measurement gap applicability in different modes of operation such as EN-DC and SA. In this contribution we discuss and propose the extension of measurement gap applicability for NR-U.</w:t>
      </w:r>
    </w:p>
    <w:p w:rsidR="0084532A" w:rsidRDefault="005813AA" w:rsidP="0084532A">
      <w:pPr>
        <w:pStyle w:val="Heading1"/>
        <w:jc w:val="both"/>
        <w:rPr>
          <w:rFonts w:eastAsia="SimSun"/>
          <w:lang w:val="en-US" w:eastAsia="zh-CN"/>
        </w:rPr>
      </w:pPr>
      <w:r>
        <w:rPr>
          <w:rFonts w:eastAsia="SimSun"/>
          <w:lang w:val="en-US" w:eastAsia="zh-CN"/>
        </w:rPr>
        <w:t>Discussion</w:t>
      </w:r>
    </w:p>
    <w:p w:rsidR="00091B7C" w:rsidRDefault="00091B7C" w:rsidP="00091B7C">
      <w:pPr>
        <w:rPr>
          <w:lang w:val="en-US" w:eastAsia="zh-CN"/>
        </w:rPr>
      </w:pPr>
      <w:r>
        <w:rPr>
          <w:lang w:val="en-US" w:eastAsia="zh-CN"/>
        </w:rPr>
        <w:t>In RAN1#96bis, RAN1 reached the following agreement on the window for DRS transmission window</w:t>
      </w:r>
    </w:p>
    <w:tbl>
      <w:tblPr>
        <w:tblStyle w:val="TableGrid"/>
        <w:tblW w:w="0" w:type="auto"/>
        <w:tblLook w:val="04A0" w:firstRow="1" w:lastRow="0" w:firstColumn="1" w:lastColumn="0" w:noHBand="0" w:noVBand="1"/>
      </w:tblPr>
      <w:tblGrid>
        <w:gridCol w:w="10537"/>
      </w:tblGrid>
      <w:tr w:rsidR="00091B7C" w:rsidTr="00091B7C">
        <w:tc>
          <w:tcPr>
            <w:tcW w:w="10763" w:type="dxa"/>
          </w:tcPr>
          <w:p w:rsidR="00091B7C" w:rsidRDefault="00091B7C" w:rsidP="00091B7C">
            <w:pPr>
              <w:rPr>
                <w:lang w:val="en-US" w:eastAsia="x-none"/>
              </w:rPr>
            </w:pPr>
            <w:r>
              <w:rPr>
                <w:highlight w:val="green"/>
                <w:lang w:val="en-US" w:eastAsia="x-none"/>
              </w:rPr>
              <w:t>Agreement:</w:t>
            </w:r>
          </w:p>
          <w:p w:rsidR="00091B7C" w:rsidRDefault="00091B7C" w:rsidP="00091B7C">
            <w:pPr>
              <w:rPr>
                <w:lang w:val="en-US" w:eastAsia="x-none"/>
              </w:rPr>
            </w:pPr>
            <w:r>
              <w:rPr>
                <w:lang w:val="en-US" w:eastAsia="x-none"/>
              </w:rPr>
              <w:t>The maximum DRS transmission window duration is 5 ms.</w:t>
            </w:r>
          </w:p>
          <w:p w:rsidR="00091B7C" w:rsidRDefault="00091B7C" w:rsidP="00091B7C">
            <w:pPr>
              <w:numPr>
                <w:ilvl w:val="0"/>
                <w:numId w:val="33"/>
              </w:numPr>
              <w:spacing w:after="0"/>
              <w:rPr>
                <w:lang w:val="en-US" w:eastAsia="x-none"/>
              </w:rPr>
            </w:pPr>
            <w:r>
              <w:rPr>
                <w:lang w:val="en-US" w:eastAsia="x-none"/>
              </w:rPr>
              <w:t>The maximum number of candidate SSB positions within a DRS transmission window, Y, is selected as Y = 10 for 15 kHz SCS and Y = 20 for 30 kHz SCS.</w:t>
            </w:r>
          </w:p>
          <w:p w:rsidR="00091B7C" w:rsidRDefault="00091B7C" w:rsidP="00091B7C">
            <w:pPr>
              <w:numPr>
                <w:ilvl w:val="1"/>
                <w:numId w:val="33"/>
              </w:numPr>
              <w:spacing w:after="0"/>
              <w:rPr>
                <w:lang w:val="en-US" w:eastAsia="x-none"/>
              </w:rPr>
            </w:pPr>
            <w:r>
              <w:rPr>
                <w:lang w:val="en-US" w:eastAsia="x-none"/>
              </w:rPr>
              <w:t>Note: The number of starting points for DRS transmissions with the 5 ms window that can use a Cat. 2 LBT is to be discussed further as part of channel access discussions.</w:t>
            </w:r>
          </w:p>
          <w:p w:rsidR="00091B7C" w:rsidRDefault="00091B7C" w:rsidP="00091B7C">
            <w:pPr>
              <w:numPr>
                <w:ilvl w:val="0"/>
                <w:numId w:val="33"/>
              </w:numPr>
              <w:spacing w:after="0"/>
              <w:rPr>
                <w:lang w:val="en-US" w:eastAsia="x-none"/>
              </w:rPr>
            </w:pPr>
            <w:r>
              <w:rPr>
                <w:lang w:val="en-US" w:eastAsia="x-none"/>
              </w:rPr>
              <w:t>FFS: If the DRS transmission window is configurable, and if yes, how to configure and indicate the window, including the range of configurable values.</w:t>
            </w:r>
          </w:p>
          <w:p w:rsidR="00091B7C" w:rsidRDefault="00091B7C" w:rsidP="00091B7C">
            <w:pPr>
              <w:rPr>
                <w:lang w:val="en-US" w:eastAsia="zh-CN"/>
              </w:rPr>
            </w:pPr>
          </w:p>
        </w:tc>
      </w:tr>
    </w:tbl>
    <w:p w:rsidR="00091B7C" w:rsidRDefault="00091B7C" w:rsidP="00091B7C">
      <w:pPr>
        <w:rPr>
          <w:lang w:val="en-US" w:eastAsia="zh-CN"/>
        </w:rPr>
      </w:pPr>
    </w:p>
    <w:p w:rsidR="00091B7C" w:rsidRDefault="00091B7C" w:rsidP="00091B7C">
      <w:pPr>
        <w:rPr>
          <w:lang w:val="en-US" w:eastAsia="zh-CN"/>
        </w:rPr>
      </w:pPr>
      <w:r>
        <w:rPr>
          <w:lang w:val="en-US" w:eastAsia="zh-CN"/>
        </w:rPr>
        <w:t xml:space="preserve">Reviewing the agreements from RAN1#97, the FFS issue on configurable DRS transmission window is not yet resolved, although it was agreed in high level how the UE determines the </w:t>
      </w:r>
      <w:r w:rsidR="00EE514A">
        <w:rPr>
          <w:lang w:val="en-US" w:eastAsia="zh-CN"/>
        </w:rPr>
        <w:t>serving cell timing (and neighbor cell timing is also mentioned in the agreement). Basically, a combination of PBCH DMRS and reuse of FR2 PBCH payload bits is used:</w:t>
      </w:r>
    </w:p>
    <w:tbl>
      <w:tblPr>
        <w:tblStyle w:val="TableGrid"/>
        <w:tblW w:w="0" w:type="auto"/>
        <w:tblLook w:val="04A0" w:firstRow="1" w:lastRow="0" w:firstColumn="1" w:lastColumn="0" w:noHBand="0" w:noVBand="1"/>
      </w:tblPr>
      <w:tblGrid>
        <w:gridCol w:w="10537"/>
      </w:tblGrid>
      <w:tr w:rsidR="00EE514A" w:rsidTr="00EE514A">
        <w:tc>
          <w:tcPr>
            <w:tcW w:w="10763" w:type="dxa"/>
          </w:tcPr>
          <w:p w:rsidR="00EE514A" w:rsidRDefault="00EE514A" w:rsidP="00EE514A">
            <w:pPr>
              <w:spacing w:after="0"/>
              <w:rPr>
                <w:b/>
                <w:u w:val="single"/>
                <w:lang w:val="en-US" w:eastAsia="sv-SE"/>
              </w:rPr>
            </w:pPr>
            <w:r>
              <w:rPr>
                <w:lang w:val="en-US"/>
              </w:rPr>
              <w:t xml:space="preserve">The mechanism to determine serving cell timing is as follows: </w:t>
            </w:r>
          </w:p>
          <w:p w:rsidR="00EE514A" w:rsidRDefault="00EE514A" w:rsidP="00EE514A">
            <w:pPr>
              <w:numPr>
                <w:ilvl w:val="0"/>
                <w:numId w:val="34"/>
              </w:numPr>
              <w:spacing w:after="0"/>
              <w:rPr>
                <w:b/>
                <w:u w:val="single"/>
                <w:lang w:val="en-US"/>
              </w:rPr>
            </w:pPr>
            <w:r>
              <w:rPr>
                <w:lang w:val="en-US"/>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EE514A" w:rsidRDefault="00EE514A" w:rsidP="00EE514A">
            <w:pPr>
              <w:numPr>
                <w:ilvl w:val="0"/>
                <w:numId w:val="34"/>
              </w:numPr>
              <w:spacing w:after="0"/>
              <w:rPr>
                <w:b/>
                <w:u w:val="single"/>
                <w:lang w:val="en-US"/>
              </w:rPr>
            </w:pPr>
            <w:r>
              <w:rPr>
                <w:lang w:val="en-US"/>
              </w:rPr>
              <w:t xml:space="preserve">10-bits SFN and half-frame indicator are indicated as in Rel-15 </w:t>
            </w:r>
          </w:p>
          <w:p w:rsidR="00EE514A" w:rsidRDefault="00EE514A" w:rsidP="00EE514A">
            <w:pPr>
              <w:numPr>
                <w:ilvl w:val="0"/>
                <w:numId w:val="34"/>
              </w:numPr>
              <w:spacing w:after="0"/>
              <w:rPr>
                <w:lang w:val="en-US"/>
              </w:rPr>
            </w:pPr>
            <w:r>
              <w:rPr>
                <w:lang w:val="en-US"/>
              </w:rPr>
              <w:t>PBCH payload size is not increased compared to Rel-15</w:t>
            </w:r>
          </w:p>
          <w:p w:rsidR="00EE514A" w:rsidRDefault="00EE514A" w:rsidP="00EE514A">
            <w:pPr>
              <w:numPr>
                <w:ilvl w:val="1"/>
                <w:numId w:val="34"/>
              </w:numPr>
              <w:spacing w:after="0"/>
              <w:rPr>
                <w:b/>
                <w:u w:val="single"/>
                <w:lang w:val="en-US"/>
              </w:rPr>
            </w:pPr>
            <w:r>
              <w:rPr>
                <w:lang w:val="en-US"/>
              </w:rPr>
              <w:t>FFS: Whether reuse of other available bits in PBCH payload is also required for timing determination</w:t>
            </w:r>
          </w:p>
          <w:p w:rsidR="00EE514A" w:rsidRDefault="00EE514A" w:rsidP="00EE514A">
            <w:pPr>
              <w:numPr>
                <w:ilvl w:val="0"/>
                <w:numId w:val="34"/>
              </w:numPr>
              <w:spacing w:after="0"/>
              <w:rPr>
                <w:b/>
                <w:u w:val="single"/>
                <w:lang w:val="en-US"/>
              </w:rPr>
            </w:pPr>
            <w:r>
              <w:rPr>
                <w:lang w:val="en-US"/>
              </w:rPr>
              <w:t>If the UE is required to perform PBCH decoding of neighbor cell(s) (e.g., in asynchronous deployments), an explicit time allowance for acquisition of SSB index is provided to the UE</w:t>
            </w:r>
          </w:p>
          <w:p w:rsidR="00EE514A" w:rsidRDefault="00EE514A" w:rsidP="00091B7C">
            <w:pPr>
              <w:rPr>
                <w:lang w:val="en-US" w:eastAsia="zh-CN"/>
              </w:rPr>
            </w:pPr>
          </w:p>
        </w:tc>
      </w:tr>
    </w:tbl>
    <w:p w:rsidR="00EE514A" w:rsidRDefault="00EE514A" w:rsidP="00091B7C">
      <w:pPr>
        <w:rPr>
          <w:lang w:val="en-US" w:eastAsia="zh-CN"/>
        </w:rPr>
      </w:pPr>
    </w:p>
    <w:p w:rsidR="00EE514A" w:rsidRDefault="00EE514A" w:rsidP="00091B7C">
      <w:pPr>
        <w:rPr>
          <w:lang w:val="en-US" w:eastAsia="zh-CN"/>
        </w:rPr>
      </w:pPr>
      <w:r>
        <w:rPr>
          <w:lang w:val="en-US" w:eastAsia="zh-CN"/>
        </w:rPr>
        <w:t>Once the serving cell time index is determined, the UE still needs to determine a QCL relation to determine which SS blocks may be treated together in L1 filtering. It should be noted that these agreements from RAN4#97  are for serving cell only; neighhbour cell will be addressed separately.</w:t>
      </w:r>
    </w:p>
    <w:tbl>
      <w:tblPr>
        <w:tblStyle w:val="TableGrid"/>
        <w:tblW w:w="0" w:type="auto"/>
        <w:tblLook w:val="04A0" w:firstRow="1" w:lastRow="0" w:firstColumn="1" w:lastColumn="0" w:noHBand="0" w:noVBand="1"/>
      </w:tblPr>
      <w:tblGrid>
        <w:gridCol w:w="10537"/>
      </w:tblGrid>
      <w:tr w:rsidR="00EE514A" w:rsidTr="00EE514A">
        <w:tc>
          <w:tcPr>
            <w:tcW w:w="10763" w:type="dxa"/>
          </w:tcPr>
          <w:p w:rsidR="00EE514A" w:rsidRDefault="00EE514A" w:rsidP="00EE514A">
            <w:pPr>
              <w:spacing w:after="0"/>
              <w:rPr>
                <w:lang w:val="en-US" w:eastAsia="sv-SE"/>
              </w:rPr>
            </w:pPr>
            <w:r>
              <w:rPr>
                <w:highlight w:val="green"/>
                <w:lang w:val="en-US"/>
              </w:rPr>
              <w:t>Agreement:</w:t>
            </w:r>
          </w:p>
          <w:p w:rsidR="00EE514A" w:rsidRDefault="00EE514A" w:rsidP="00EE514A">
            <w:pPr>
              <w:pStyle w:val="ListParagraph"/>
              <w:spacing w:line="288" w:lineRule="auto"/>
              <w:ind w:left="0"/>
              <w:rPr>
                <w:rFonts w:eastAsia="MS Mincho"/>
                <w:lang w:val="en-GB"/>
              </w:rPr>
            </w:pPr>
            <w:r>
              <w:t>For a serving cell, UE may assume a QCL relation between SS/PBCH blocks which are detected across DRS transmission windows and have the same value of modulo(A, Q), once Q is known to the UE</w:t>
            </w:r>
          </w:p>
          <w:p w:rsidR="00EE514A" w:rsidRDefault="00EE514A" w:rsidP="00EE514A">
            <w:pPr>
              <w:pStyle w:val="ListParagraph"/>
              <w:numPr>
                <w:ilvl w:val="0"/>
                <w:numId w:val="35"/>
              </w:numPr>
              <w:autoSpaceDN w:val="0"/>
              <w:spacing w:line="288" w:lineRule="auto"/>
              <w:rPr>
                <w:rFonts w:eastAsia="MS Mincho"/>
              </w:rPr>
            </w:pPr>
            <w:r>
              <w:lastRenderedPageBreak/>
              <w:t>FFS: A is the SSB candidate position index and/or PBCH DMRS sequence index</w:t>
            </w:r>
          </w:p>
          <w:p w:rsidR="00EE514A" w:rsidRDefault="00EE514A" w:rsidP="00EE514A">
            <w:pPr>
              <w:pStyle w:val="ListParagraph"/>
              <w:numPr>
                <w:ilvl w:val="0"/>
                <w:numId w:val="35"/>
              </w:numPr>
              <w:autoSpaceDN w:val="0"/>
              <w:spacing w:line="288" w:lineRule="auto"/>
              <w:rPr>
                <w:rFonts w:eastAsia="MS Mincho"/>
              </w:rPr>
            </w:pPr>
            <w:r>
              <w:rPr>
                <w:rFonts w:eastAsia="MS Mincho"/>
              </w:rPr>
              <w:t xml:space="preserve">FFS: How Q is indicated or determined </w:t>
            </w:r>
          </w:p>
          <w:p w:rsidR="00EE514A" w:rsidRDefault="00EE514A" w:rsidP="00EE514A">
            <w:pPr>
              <w:pStyle w:val="ListParagraph"/>
              <w:numPr>
                <w:ilvl w:val="0"/>
                <w:numId w:val="35"/>
              </w:numPr>
              <w:autoSpaceDN w:val="0"/>
              <w:spacing w:line="288" w:lineRule="auto"/>
              <w:rPr>
                <w:rFonts w:eastAsia="MS Mincho"/>
              </w:rPr>
            </w:pPr>
            <w:r>
              <w:t>FFS: Restriction on the range of Q.</w:t>
            </w:r>
          </w:p>
          <w:p w:rsidR="00EE514A" w:rsidRDefault="00EE514A" w:rsidP="00EE514A">
            <w:pPr>
              <w:pStyle w:val="ListParagraph"/>
              <w:spacing w:line="288" w:lineRule="auto"/>
              <w:ind w:left="0"/>
              <w:rPr>
                <w:rFonts w:eastAsia="MS Mincho"/>
              </w:rPr>
            </w:pPr>
            <w:r>
              <w:t>Note: Neighbor cell RRM measurements will be addressed separately</w:t>
            </w:r>
          </w:p>
          <w:p w:rsidR="00EE514A" w:rsidRDefault="00EE514A" w:rsidP="00091B7C">
            <w:pPr>
              <w:rPr>
                <w:lang w:val="en-US" w:eastAsia="zh-CN"/>
              </w:rPr>
            </w:pPr>
          </w:p>
        </w:tc>
      </w:tr>
    </w:tbl>
    <w:p w:rsidR="00EE514A" w:rsidRDefault="00EE514A" w:rsidP="00091B7C">
      <w:pPr>
        <w:rPr>
          <w:lang w:val="en-US" w:eastAsia="zh-CN"/>
        </w:rPr>
      </w:pPr>
    </w:p>
    <w:p w:rsidR="00EE514A" w:rsidRDefault="00EE514A" w:rsidP="00091B7C">
      <w:pPr>
        <w:rPr>
          <w:lang w:val="en-US" w:eastAsia="zh-CN"/>
        </w:rPr>
      </w:pPr>
      <w:r>
        <w:rPr>
          <w:lang w:val="en-US" w:eastAsia="zh-CN"/>
        </w:rPr>
        <w:t>Considering the maximum duration of a measurement gap of 5ms, it seems reasonable that RF switching time for NR-U bands would be 0.5+0.5ms, and hence a 6ms MGL is suitable for NR-U DRS based measurements.</w:t>
      </w:r>
    </w:p>
    <w:p w:rsidR="00EE514A" w:rsidRDefault="00EE514A" w:rsidP="00091B7C">
      <w:pPr>
        <w:rPr>
          <w:b/>
          <w:lang w:val="en-US" w:eastAsia="zh-CN"/>
        </w:rPr>
      </w:pPr>
      <w:r>
        <w:rPr>
          <w:b/>
          <w:lang w:val="en-US" w:eastAsia="zh-CN"/>
        </w:rPr>
        <w:t>Observation 1 : Gap patterns with MGL=6ms are suitable for measurements based on DRS</w:t>
      </w:r>
    </w:p>
    <w:p w:rsidR="00EE514A" w:rsidRDefault="00EE514A" w:rsidP="00091B7C">
      <w:pPr>
        <w:rPr>
          <w:lang w:val="en-US" w:eastAsia="zh-CN"/>
        </w:rPr>
      </w:pPr>
      <w:r>
        <w:rPr>
          <w:lang w:val="en-US" w:eastAsia="zh-CN"/>
        </w:rPr>
        <w:t xml:space="preserve">Whether shorter than 5ms gaps are appropriate for DRS based measurements depends on the possibility of a configurable DRS window; clearly one aspect of configuration could be a DRS window duration and </w:t>
      </w:r>
      <w:r w:rsidR="0072678D">
        <w:rPr>
          <w:lang w:val="en-US" w:eastAsia="zh-CN"/>
        </w:rPr>
        <w:t>whether it is always assumed to have a fixed duration from a UE and specification point of view, or whether it can be shorter than 5ms.</w:t>
      </w:r>
      <w:r w:rsidR="00F02C8A">
        <w:rPr>
          <w:lang w:val="en-US" w:eastAsia="zh-CN"/>
        </w:rPr>
        <w:t xml:space="preserve"> Actually, even if the UE shall always assume 5ms window, if the network has prior knowledge that it will not attempt to use all of the SSB block position indices, it could beneficially configure a shorter MG pattern but we do not consider this for now.</w:t>
      </w:r>
    </w:p>
    <w:p w:rsidR="00F02C8A" w:rsidRDefault="0072678D" w:rsidP="00091B7C">
      <w:pPr>
        <w:rPr>
          <w:b/>
          <w:lang w:val="en-US" w:eastAsia="zh-CN"/>
        </w:rPr>
      </w:pPr>
      <w:r>
        <w:rPr>
          <w:b/>
          <w:lang w:val="en-US" w:eastAsia="zh-CN"/>
        </w:rPr>
        <w:t xml:space="preserve">Proposal 1 : Applicability of MG patterns </w:t>
      </w:r>
      <w:r w:rsidR="00F02C8A">
        <w:rPr>
          <w:b/>
          <w:lang w:val="en-US" w:eastAsia="zh-CN"/>
        </w:rPr>
        <w:t>#0,#1, #4 and #5 for measurements based on DRS is confirmed</w:t>
      </w:r>
    </w:p>
    <w:p w:rsidR="00F02C8A" w:rsidRPr="00F02C8A" w:rsidRDefault="00F02C8A" w:rsidP="00091B7C">
      <w:pPr>
        <w:rPr>
          <w:lang w:val="en-US" w:eastAsia="zh-CN"/>
        </w:rPr>
      </w:pPr>
      <w:r w:rsidRPr="00F02C8A">
        <w:rPr>
          <w:lang w:val="en-US" w:eastAsia="zh-CN"/>
        </w:rPr>
        <w:t xml:space="preserve">The </w:t>
      </w:r>
      <w:r>
        <w:rPr>
          <w:lang w:val="en-US" w:eastAsia="zh-CN"/>
        </w:rPr>
        <w:t>suitability of other MG patterns can be decided when it is better understood whether the DRS duration could be shorter than 5ms.</w:t>
      </w:r>
    </w:p>
    <w:p w:rsidR="00F02C8A" w:rsidRDefault="00F02C8A" w:rsidP="00F02C8A">
      <w:pPr>
        <w:rPr>
          <w:b/>
          <w:lang w:val="en-US" w:eastAsia="zh-CN"/>
        </w:rPr>
      </w:pPr>
      <w:r>
        <w:rPr>
          <w:b/>
          <w:lang w:val="en-US" w:eastAsia="zh-CN"/>
        </w:rPr>
        <w:t>Proposal 2 : Applicability of MG patterns #2,#3 and #6-#11 for measurements based on DRS depends on the possibility of shorter than 5ms DRS transmission window.</w:t>
      </w:r>
    </w:p>
    <w:p w:rsidR="00F02C8A" w:rsidRPr="00F02C8A" w:rsidRDefault="00F02C8A" w:rsidP="00F02C8A">
      <w:pPr>
        <w:rPr>
          <w:lang w:val="en-US" w:eastAsia="zh-CN"/>
        </w:rPr>
      </w:pPr>
      <w:r w:rsidRPr="00F02C8A">
        <w:rPr>
          <w:lang w:val="en-US" w:eastAsia="zh-CN"/>
        </w:rPr>
        <w:t>At</w:t>
      </w:r>
      <w:r>
        <w:rPr>
          <w:lang w:val="en-US" w:eastAsia="zh-CN"/>
        </w:rPr>
        <w:t xml:space="preserve"> any rate, the existing MG patterns can be seen to be a sufficient set, based on the existing agreement of 5ms for the DRS transmission window</w:t>
      </w:r>
    </w:p>
    <w:p w:rsidR="00091B7C" w:rsidRPr="00F02C8A" w:rsidRDefault="00F02C8A" w:rsidP="00091B7C">
      <w:pPr>
        <w:rPr>
          <w:b/>
          <w:lang w:val="en-US" w:eastAsia="zh-CN"/>
        </w:rPr>
      </w:pPr>
      <w:r>
        <w:rPr>
          <w:b/>
          <w:lang w:val="en-US" w:eastAsia="zh-CN"/>
        </w:rPr>
        <w:t>Proposal 3 : No new MG pattern needs to be introduced for DRS based measurements</w:t>
      </w:r>
    </w:p>
    <w:p w:rsidR="006B6666" w:rsidRDefault="006B6666" w:rsidP="006B6666">
      <w:pPr>
        <w:pStyle w:val="Heading1"/>
        <w:jc w:val="both"/>
        <w:rPr>
          <w:rFonts w:eastAsia="SimSun"/>
          <w:lang w:val="en-US" w:eastAsia="zh-CN"/>
        </w:rPr>
      </w:pPr>
      <w:r>
        <w:rPr>
          <w:rFonts w:eastAsia="SimSun"/>
          <w:lang w:val="en-US" w:eastAsia="zh-CN"/>
        </w:rPr>
        <w:t>Conclusions</w:t>
      </w:r>
    </w:p>
    <w:p w:rsidR="00F02C8A" w:rsidRPr="00F02C8A" w:rsidRDefault="00F02C8A" w:rsidP="00F02C8A">
      <w:pPr>
        <w:rPr>
          <w:lang w:val="en-US" w:eastAsia="zh-CN"/>
        </w:rPr>
      </w:pPr>
      <w:r w:rsidRPr="00F02C8A">
        <w:rPr>
          <w:lang w:val="en-US" w:eastAsia="zh-CN"/>
        </w:rPr>
        <w:t xml:space="preserve">In </w:t>
      </w:r>
      <w:r>
        <w:rPr>
          <w:lang w:val="en-US" w:eastAsia="zh-CN"/>
        </w:rPr>
        <w:t>the discussion we have examined the status of agreements relevant for measurement gap design and observe and propose:</w:t>
      </w:r>
    </w:p>
    <w:p w:rsidR="00F02C8A" w:rsidRDefault="00F02C8A" w:rsidP="00F02C8A">
      <w:pPr>
        <w:rPr>
          <w:b/>
          <w:lang w:val="en-US" w:eastAsia="zh-CN"/>
        </w:rPr>
      </w:pPr>
      <w:r>
        <w:rPr>
          <w:b/>
          <w:lang w:val="en-US" w:eastAsia="zh-CN"/>
        </w:rPr>
        <w:t>Observation 1 : Gap patterns with MGL=6ms are suitable for measurements based on DRS</w:t>
      </w:r>
    </w:p>
    <w:p w:rsidR="00F02C8A" w:rsidRDefault="00F02C8A" w:rsidP="00F02C8A">
      <w:pPr>
        <w:rPr>
          <w:b/>
          <w:lang w:val="en-US" w:eastAsia="zh-CN"/>
        </w:rPr>
      </w:pPr>
      <w:r>
        <w:rPr>
          <w:b/>
          <w:lang w:val="en-US" w:eastAsia="zh-CN"/>
        </w:rPr>
        <w:t>Proposal 1 : Applicability of MG patterns #0,#1, #4 and #5 for measurements based on DRS is confirmed</w:t>
      </w:r>
    </w:p>
    <w:p w:rsidR="00F02C8A" w:rsidRDefault="00F02C8A" w:rsidP="00F02C8A">
      <w:pPr>
        <w:rPr>
          <w:b/>
          <w:lang w:val="en-US" w:eastAsia="zh-CN"/>
        </w:rPr>
      </w:pPr>
      <w:r>
        <w:rPr>
          <w:b/>
          <w:lang w:val="en-US" w:eastAsia="zh-CN"/>
        </w:rPr>
        <w:t>Proposal 2 : Applicability of MG patterns #2,#3 and #6-#11 for measurements based on DRS depends on the possibility of shorter than 5ms DRS transmission window.</w:t>
      </w:r>
    </w:p>
    <w:p w:rsidR="00367330" w:rsidRPr="00367330" w:rsidRDefault="00F02C8A" w:rsidP="00367330">
      <w:pPr>
        <w:rPr>
          <w:b/>
          <w:lang w:val="en-US" w:eastAsia="zh-CN"/>
        </w:rPr>
      </w:pPr>
      <w:r>
        <w:rPr>
          <w:b/>
          <w:lang w:val="en-US" w:eastAsia="zh-CN"/>
        </w:rPr>
        <w:t>Proposal 3 : No new MG pattern needs to be introduced for DRS based measurements</w:t>
      </w:r>
    </w:p>
    <w:p w:rsidR="005813AA" w:rsidRDefault="005813AA" w:rsidP="00D27631">
      <w:pPr>
        <w:pStyle w:val="Heading1"/>
        <w:numPr>
          <w:ilvl w:val="0"/>
          <w:numId w:val="0"/>
        </w:numPr>
        <w:jc w:val="both"/>
        <w:rPr>
          <w:rFonts w:eastAsia="SimSun"/>
          <w:lang w:val="en-US" w:eastAsia="zh-CN"/>
        </w:rPr>
      </w:pPr>
    </w:p>
    <w:sectPr w:rsidR="005813A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D92" w:rsidRDefault="002E2D92">
      <w:r>
        <w:separator/>
      </w:r>
    </w:p>
  </w:endnote>
  <w:endnote w:type="continuationSeparator" w:id="0">
    <w:p w:rsidR="002E2D92" w:rsidRDefault="002E2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D92" w:rsidRDefault="002E2D92">
      <w:r>
        <w:separator/>
      </w:r>
    </w:p>
  </w:footnote>
  <w:footnote w:type="continuationSeparator" w:id="0">
    <w:p w:rsidR="002E2D92" w:rsidRDefault="002E2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1"/>
  </w:num>
  <w:num w:numId="3">
    <w:abstractNumId w:val="33"/>
  </w:num>
  <w:num w:numId="4">
    <w:abstractNumId w:val="8"/>
  </w:num>
  <w:num w:numId="5">
    <w:abstractNumId w:val="12"/>
  </w:num>
  <w:num w:numId="6">
    <w:abstractNumId w:val="27"/>
  </w:num>
  <w:num w:numId="7">
    <w:abstractNumId w:val="10"/>
  </w:num>
  <w:num w:numId="8">
    <w:abstractNumId w:val="21"/>
  </w:num>
  <w:num w:numId="9">
    <w:abstractNumId w:val="13"/>
  </w:num>
  <w:num w:numId="10">
    <w:abstractNumId w:val="14"/>
  </w:num>
  <w:num w:numId="11">
    <w:abstractNumId w:val="5"/>
  </w:num>
  <w:num w:numId="12">
    <w:abstractNumId w:val="18"/>
  </w:num>
  <w:num w:numId="13">
    <w:abstractNumId w:val="0"/>
  </w:num>
  <w:num w:numId="14">
    <w:abstractNumId w:val="1"/>
  </w:num>
  <w:num w:numId="15">
    <w:abstractNumId w:val="32"/>
  </w:num>
  <w:num w:numId="16">
    <w:abstractNumId w:val="19"/>
  </w:num>
  <w:num w:numId="17">
    <w:abstractNumId w:val="20"/>
  </w:num>
  <w:num w:numId="18">
    <w:abstractNumId w:val="7"/>
  </w:num>
  <w:num w:numId="19">
    <w:abstractNumId w:val="23"/>
  </w:num>
  <w:num w:numId="20">
    <w:abstractNumId w:val="25"/>
  </w:num>
  <w:num w:numId="21">
    <w:abstractNumId w:val="4"/>
  </w:num>
  <w:num w:numId="22">
    <w:abstractNumId w:val="29"/>
  </w:num>
  <w:num w:numId="23">
    <w:abstractNumId w:val="2"/>
  </w:num>
  <w:num w:numId="24">
    <w:abstractNumId w:val="22"/>
  </w:num>
  <w:num w:numId="25">
    <w:abstractNumId w:val="6"/>
  </w:num>
  <w:num w:numId="26">
    <w:abstractNumId w:val="24"/>
  </w:num>
  <w:num w:numId="27">
    <w:abstractNumId w:val="16"/>
  </w:num>
  <w:num w:numId="28">
    <w:abstractNumId w:val="17"/>
  </w:num>
  <w:num w:numId="29">
    <w:abstractNumId w:val="30"/>
  </w:num>
  <w:num w:numId="30">
    <w:abstractNumId w:val="26"/>
  </w:num>
  <w:num w:numId="31">
    <w:abstractNumId w:val="28"/>
  </w:num>
  <w:num w:numId="32">
    <w:abstractNumId w:val="11"/>
  </w:num>
  <w:num w:numId="33">
    <w:abstractNumId w:val="34"/>
  </w:num>
  <w:num w:numId="34">
    <w:abstractNumId w:val="9"/>
  </w:num>
  <w:num w:numId="35">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7C"/>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0A2"/>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4F"/>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2D92"/>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78D"/>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05C"/>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631"/>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14A"/>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154"/>
    <w:rsid w:val="00F00779"/>
    <w:rsid w:val="00F00B88"/>
    <w:rsid w:val="00F00CBC"/>
    <w:rsid w:val="00F00E00"/>
    <w:rsid w:val="00F00F67"/>
    <w:rsid w:val="00F01F0F"/>
    <w:rsid w:val="00F02002"/>
    <w:rsid w:val="00F023E8"/>
    <w:rsid w:val="00F0298E"/>
    <w:rsid w:val="00F029B9"/>
    <w:rsid w:val="00F02C6D"/>
    <w:rsid w:val="00F02C8A"/>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9C81E3"/>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列出段落 Char,中等深浅网格 1 - 着色 21 Char,列表段落 Char,¥¡¡¡¡ì¬º¥¹¥È¶ÎÂä Char,ÁÐ³ö¶ÎÂä Char,¥ê¥¹¥È¶ÎÂä Char,列表段落1 Char,—ño’i—Ž Char,Paragrafo elenco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8026271">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2418191">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4765470">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544D753A-D45A-4155-B1AF-D9C2691FF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2019-08-16T08:24:00Z</dcterms:created>
  <dcterms:modified xsi:type="dcterms:W3CDTF">2019-08-16T15:48:00Z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